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>
      <w:pPr>
        <w:pStyle w:val="NoSpacing"/>
        <w:spacing w:line="13.80pt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Călin-Cornel Pop</w:t>
      </w:r>
      <w:r>
        <w:rPr>
          <w:rFonts w:ascii="Times New Roman" w:hAnsi="Times New Roman"/>
          <w:sz w:val="24"/>
          <w:szCs w:val="24"/>
          <w:lang w:val="ro-RO"/>
        </w:rPr>
        <w:t xml:space="preserve"> este profesor abilitat la Facultatea de Geografie a Universității Babeț-Bolyai Cluj-Napoca.</w:t>
      </w:r>
    </w:p>
    <w:p>
      <w:pPr>
        <w:pStyle w:val="NoSpacing"/>
        <w:spacing w:line="13.80pt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pStyle w:val="NoSpacing"/>
        <w:spacing w:line="13.80pt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Arii de competență</w:t>
      </w:r>
      <w:r>
        <w:rPr>
          <w:rFonts w:ascii="Times New Roman" w:hAnsi="Times New Roman"/>
          <w:sz w:val="24"/>
          <w:szCs w:val="24"/>
          <w:lang w:val="ro-RO"/>
        </w:rPr>
        <w:t>: geografie regională, geografie conceptuală, planning teritorial, axe geografice pentru dezvoltare durabilă.</w:t>
      </w:r>
    </w:p>
    <w:p>
      <w:pPr>
        <w:pStyle w:val="NoSpacing"/>
        <w:spacing w:line="13.80pt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pStyle w:val="NoSpacing"/>
        <w:spacing w:line="13.80pt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Teme de cercetare</w:t>
      </w:r>
      <w:r>
        <w:rPr>
          <w:rFonts w:ascii="Times New Roman" w:hAnsi="Times New Roman"/>
          <w:sz w:val="24"/>
          <w:szCs w:val="24"/>
          <w:lang w:val="ro-RO"/>
        </w:rPr>
        <w:t xml:space="preserve">: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pStyle w:val="NoSpacing"/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Dinamica axelor geografice</w:t>
      </w:r>
    </w:p>
    <w:p>
      <w:pPr>
        <w:pStyle w:val="NoSpacing"/>
        <w:ind w:start="36pt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spacing w:line="13.80pt" w:lineRule="auto"/>
        <w:jc w:val="both"/>
      </w:pPr>
      <w:r>
        <w:rPr>
          <w:rFonts w:ascii="Times New Roman" w:hAnsi="Times New Roman" w:cs="Times New Roman"/>
          <w:sz w:val="24"/>
          <w:lang w:val="ro-RO"/>
        </w:rPr>
        <w:t xml:space="preserve">Cele mai semnificative lucrări: </w:t>
      </w:r>
      <w:r>
        <w:rPr>
          <w:rFonts w:ascii="Times New Roman" w:hAnsi="Times New Roman" w:cs="Times New Roman"/>
          <w:i/>
          <w:iCs/>
          <w:sz w:val="24"/>
          <w:lang w:val="ro-RO"/>
        </w:rPr>
        <w:t>Environmental axes: management and economic development. Regional and local aspects</w:t>
      </w:r>
      <w:r>
        <w:rPr>
          <w:rFonts w:ascii="Times New Roman" w:hAnsi="Times New Roman" w:cs="Times New Roman"/>
          <w:sz w:val="24"/>
          <w:lang w:val="ro-RO"/>
        </w:rPr>
        <w:t xml:space="preserve"> (</w:t>
      </w:r>
      <w:r>
        <w:rPr>
          <w:rFonts w:ascii="Times New Roman" w:hAnsi="Times New Roman" w:cs="Times New Roman"/>
          <w:bCs/>
          <w:sz w:val="24"/>
          <w:lang w:val="ro-RO"/>
        </w:rPr>
        <w:t>Pop, C.C.,</w:t>
      </w:r>
      <w:r>
        <w:rPr>
          <w:rFonts w:ascii="Times New Roman" w:hAnsi="Times New Roman" w:cs="Times New Roman"/>
          <w:sz w:val="24"/>
          <w:lang w:val="ro-RO"/>
        </w:rPr>
        <w:t xml:space="preserve"> Ormenişan, S. V., Pop, C. D.). </w:t>
      </w:r>
      <w:r>
        <w:rPr>
          <w:rFonts w:ascii="Times New Roman" w:hAnsi="Times New Roman" w:cs="Times New Roman"/>
          <w:sz w:val="24"/>
          <w:lang w:val="en-US"/>
        </w:rPr>
        <w:t xml:space="preserve">Environmental Engineering and Management Journal, 15:5, 1148-1153, </w:t>
      </w:r>
      <w:r>
        <w:rPr>
          <w:rFonts w:ascii="Times New Roman" w:hAnsi="Times New Roman" w:cs="Times New Roman"/>
          <w:sz w:val="24"/>
          <w:lang w:val="ro-RO"/>
        </w:rPr>
        <w:t>2016</w:t>
      </w:r>
      <w:r>
        <w:rPr>
          <w:rFonts w:ascii="Times New Roman" w:hAnsi="Times New Roman" w:cs="Times New Roman"/>
          <w:sz w:val="24"/>
          <w:lang w:val="en-US"/>
        </w:rPr>
        <w:t xml:space="preserve">; </w:t>
      </w:r>
      <w:r>
        <w:rPr>
          <w:rFonts w:ascii="Times New Roman" w:hAnsi="Times New Roman" w:cs="Times New Roman"/>
          <w:i/>
          <w:sz w:val="24"/>
          <w:lang w:val="en-US"/>
        </w:rPr>
        <w:t>Geographical axis theory. Role and function in building territorial social realities</w:t>
      </w:r>
      <w:r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 xml:space="preserve">Pop, C.C.). </w:t>
      </w:r>
      <w:r>
        <w:rPr>
          <w:rFonts w:ascii="Times New Roman" w:hAnsi="Times New Roman" w:cs="Times New Roman"/>
          <w:sz w:val="24"/>
          <w:lang w:val="en-US"/>
        </w:rPr>
        <w:t xml:space="preserve">Revista de Cercetare şi Intervenţie Socială, 52, 283-293, 2016; </w:t>
      </w:r>
      <w:r>
        <w:rPr>
          <w:rFonts w:ascii="Times New Roman" w:hAnsi="Times New Roman" w:cs="Times New Roman"/>
          <w:i/>
          <w:sz w:val="24"/>
          <w:lang w:val="ro-RO"/>
        </w:rPr>
        <w:t>Industrial groupings and settlements. Units and structures in the form of geographical axes</w:t>
      </w:r>
      <w:r>
        <w:rPr>
          <w:rFonts w:ascii="Times New Roman" w:hAnsi="Times New Roman" w:cs="Times New Roman"/>
          <w:sz w:val="24"/>
          <w:lang w:val="ro-RO"/>
        </w:rPr>
        <w:t xml:space="preserve"> (Pop, C.C. et. all). Studii şi cercetări Geology-Geography, 22, </w:t>
      </w:r>
      <w:r>
        <w:rPr>
          <w:rFonts w:ascii="Times New Roman" w:hAnsi="Times New Roman" w:cs="Times New Roman"/>
          <w:color w:val="auto"/>
          <w:sz w:val="24"/>
          <w:lang w:val="ro-RO"/>
        </w:rPr>
        <w:t xml:space="preserve">79-87, 2019; </w:t>
      </w:r>
      <w:r>
        <w:rPr>
          <w:rFonts w:ascii="Times New Roman" w:eastAsia="Times New Roman" w:hAnsi="Times New Roman"/>
          <w:i/>
          <w:sz w:val="24"/>
        </w:rPr>
        <w:t xml:space="preserve">Certain aspects regarding the environmental axes: model in the romanian carpathian space </w:t>
      </w:r>
      <w:r>
        <w:rPr>
          <w:rFonts w:ascii="Times New Roman" w:eastAsia="Times New Roman" w:hAnsi="Times New Roman"/>
          <w:iCs/>
          <w:sz w:val="24"/>
        </w:rPr>
        <w:t>(Pop, C.C. et all). Environmental Engineering and Management Journal, 20, 1057-1063, 2021.</w:t>
      </w:r>
    </w:p>
    <w:p>
      <w:pPr>
        <w:jc w:val="both"/>
        <w:rPr>
          <w:rFonts w:ascii="Times New Roman" w:hAnsi="Times New Roman" w:cs="Times New Roman"/>
          <w:sz w:val="24"/>
          <w:lang w:val="ro-RO"/>
        </w:rPr>
      </w:pPr>
    </w:p>
    <w:p>
      <w:pPr>
        <w:pStyle w:val="NoSpacing"/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Geografie regională și conceptuală</w:t>
      </w:r>
    </w:p>
    <w:p>
      <w:pPr>
        <w:pStyle w:val="NoSpacing"/>
        <w:ind w:start="36pt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pStyle w:val="NoSpacing"/>
        <w:spacing w:line="13.80pt" w:lineRule="auto"/>
        <w:jc w:val="both"/>
      </w:pPr>
      <w:r>
        <w:rPr>
          <w:rFonts w:ascii="Times New Roman" w:hAnsi="Times New Roman"/>
          <w:sz w:val="24"/>
          <w:szCs w:val="24"/>
          <w:lang w:val="ro-RO"/>
        </w:rPr>
        <w:t xml:space="preserve">Cele mai semnificative lucrări: </w:t>
      </w:r>
      <w:r>
        <w:rPr>
          <w:rFonts w:ascii="Times New Roman" w:hAnsi="Times New Roman"/>
          <w:i/>
          <w:sz w:val="24"/>
          <w:szCs w:val="24"/>
          <w:lang w:val="ro-RO"/>
        </w:rPr>
        <w:t>Geografie conceptuală</w:t>
      </w:r>
      <w:r>
        <w:rPr>
          <w:rFonts w:ascii="Times New Roman" w:hAnsi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o-RO"/>
        </w:rPr>
        <w:t>Pop, C. C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 xml:space="preserve">). Editura Casa Cărţii de Ştiinţă, Cluj-Napoca, ISBN 973-686-881-8, 165 pg., </w:t>
      </w:r>
      <w:r>
        <w:rPr>
          <w:rFonts w:ascii="Times New Roman" w:hAnsi="Times New Roman"/>
          <w:sz w:val="24"/>
          <w:szCs w:val="24"/>
        </w:rPr>
        <w:t xml:space="preserve">2006; </w:t>
      </w:r>
      <w:r>
        <w:rPr>
          <w:rFonts w:ascii="Times New Roman" w:hAnsi="Times New Roman"/>
          <w:i/>
          <w:sz w:val="24"/>
          <w:szCs w:val="24"/>
          <w:lang w:val="ro-RO"/>
        </w:rPr>
        <w:t>Turism şi dezvoltare durabilă. Judeţul Sălaj</w:t>
      </w:r>
      <w:r>
        <w:rPr>
          <w:rFonts w:ascii="Times New Roman" w:hAnsi="Times New Roman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ro-RO"/>
        </w:rPr>
        <w:t>Pop, C. C.</w:t>
      </w:r>
      <w:r>
        <w:rPr>
          <w:rFonts w:ascii="Times New Roman" w:hAnsi="Times New Roman"/>
          <w:sz w:val="24"/>
          <w:szCs w:val="24"/>
          <w:lang w:val="ro-RO"/>
        </w:rPr>
        <w:t xml:space="preserve">). Editura Casa Cărţii de Ştiinţă, Cluj-Napoca, ISBN 978-973-133-198-0, 195 pg., </w:t>
      </w:r>
      <w:r>
        <w:rPr>
          <w:rFonts w:ascii="Times New Roman" w:hAnsi="Times New Roman"/>
          <w:sz w:val="24"/>
          <w:szCs w:val="24"/>
        </w:rPr>
        <w:t xml:space="preserve">2008; </w:t>
      </w:r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>Geographical environment and global health. Conceptual and practical aspects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(Pop, C.C.,</w:t>
      </w:r>
      <w:r>
        <w:rPr>
          <w:rFonts w:ascii="Times New Roman" w:hAnsi="Times New Roman"/>
          <w:sz w:val="24"/>
          <w:szCs w:val="24"/>
          <w:lang w:val="ro-RO"/>
        </w:rPr>
        <w:t xml:space="preserve"> Nistor, S., Bâca, I.). </w:t>
      </w:r>
      <w:r>
        <w:rPr>
          <w:rFonts w:ascii="Times New Roman" w:hAnsi="Times New Roman"/>
          <w:sz w:val="24"/>
          <w:szCs w:val="24"/>
        </w:rPr>
        <w:t xml:space="preserve">Environmental Engineering and Management Journal, 14:6, 1383-1387, 2015; </w:t>
      </w:r>
      <w:r>
        <w:rPr>
          <w:rFonts w:ascii="Times New Roman" w:hAnsi="Times New Roman"/>
          <w:i/>
          <w:iCs/>
          <w:sz w:val="24"/>
          <w:szCs w:val="24"/>
        </w:rPr>
        <w:t>Opportunities in the tourism economy. Salaj County. Romania (</w:t>
      </w:r>
      <w:r>
        <w:rPr>
          <w:rFonts w:ascii="Times New Roman" w:hAnsi="Times New Roman"/>
          <w:bCs/>
          <w:sz w:val="24"/>
          <w:szCs w:val="24"/>
          <w:lang w:val="ro-RO"/>
        </w:rPr>
        <w:t>Pop, C.C.,</w:t>
      </w:r>
      <w:r>
        <w:rPr>
          <w:rFonts w:ascii="Times New Roman" w:hAnsi="Times New Roman"/>
          <w:sz w:val="24"/>
          <w:szCs w:val="24"/>
          <w:lang w:val="ro-RO"/>
        </w:rPr>
        <w:t xml:space="preserve"> Pop, C. D.). Studii şi cercetări Geology-Geography, 20, 99-108, 2015.</w:t>
      </w:r>
    </w:p>
    <w:p>
      <w:pPr>
        <w:pStyle w:val="NoSpacing"/>
        <w:ind w:start="36pt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pStyle w:val="NoSpacing"/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Structuri teritoriale inteligente</w:t>
      </w:r>
    </w:p>
    <w:p>
      <w:pPr>
        <w:pStyle w:val="NoSpacing"/>
        <w:ind w:start="36pt"/>
        <w:jc w:val="both"/>
        <w:rPr>
          <w:rFonts w:ascii="Times New Roman" w:hAnsi="Times New Roman"/>
          <w:sz w:val="24"/>
          <w:szCs w:val="24"/>
          <w:lang w:val="ro-RO"/>
        </w:rPr>
      </w:pPr>
    </w:p>
    <w:p>
      <w:pPr>
        <w:spacing w:line="13.80pt" w:lineRule="auto"/>
        <w:jc w:val="both"/>
      </w:pPr>
      <w:r>
        <w:rPr>
          <w:rFonts w:ascii="Times New Roman" w:hAnsi="Times New Roman" w:cs="Times New Roman"/>
          <w:sz w:val="24"/>
          <w:lang w:val="ro-RO"/>
        </w:rPr>
        <w:t xml:space="preserve">Cele mai semnificative lucrări: </w:t>
      </w:r>
      <w:r>
        <w:rPr>
          <w:rFonts w:ascii="Times New Roman" w:hAnsi="Times New Roman" w:cs="Times New Roman"/>
          <w:i/>
          <w:sz w:val="24"/>
          <w:lang w:val="ro-RO"/>
        </w:rPr>
        <w:t>Normative and conceptual elements of Sylvania land identity in the unity of the Transylvanian space</w:t>
      </w:r>
      <w:r>
        <w:rPr>
          <w:rFonts w:ascii="Times New Roman" w:hAnsi="Times New Roman" w:cs="Times New Roman"/>
          <w:sz w:val="24"/>
          <w:lang w:val="ro-RO"/>
        </w:rPr>
        <w:t xml:space="preserve"> (</w:t>
      </w:r>
      <w:r>
        <w:rPr>
          <w:rFonts w:ascii="Times New Roman" w:hAnsi="Times New Roman" w:cs="Times New Roman"/>
          <w:bCs/>
          <w:sz w:val="24"/>
          <w:lang w:val="ro-RO"/>
        </w:rPr>
        <w:t>Pop, C. C., Mac. I</w:t>
      </w:r>
      <w:r>
        <w:rPr>
          <w:rFonts w:ascii="Times New Roman" w:hAnsi="Times New Roman" w:cs="Times New Roman"/>
          <w:sz w:val="24"/>
          <w:lang w:val="ro-RO"/>
        </w:rPr>
        <w:t xml:space="preserve">.). Transylvania Review, XX, Supplement No. 4, 2011; </w:t>
      </w:r>
      <w:r>
        <w:rPr>
          <w:rFonts w:ascii="Times New Roman" w:hAnsi="Times New Roman" w:cs="Times New Roman"/>
          <w:i/>
          <w:sz w:val="24"/>
          <w:lang w:val="ro-RO"/>
        </w:rPr>
        <w:t>The functional territorial units in the Transylvania geographical space during the 13</w:t>
      </w:r>
      <w:r>
        <w:rPr>
          <w:rFonts w:ascii="Times New Roman" w:hAnsi="Times New Roman" w:cs="Times New Roman"/>
          <w:i/>
          <w:sz w:val="24"/>
          <w:vertAlign w:val="superscript"/>
          <w:lang w:val="ro-RO"/>
        </w:rPr>
        <w:t>th</w:t>
      </w:r>
      <w:r>
        <w:rPr>
          <w:rFonts w:ascii="Times New Roman" w:hAnsi="Times New Roman" w:cs="Times New Roman"/>
          <w:i/>
          <w:sz w:val="24"/>
          <w:lang w:val="ro-RO"/>
        </w:rPr>
        <w:t>-19</w:t>
      </w:r>
      <w:r>
        <w:rPr>
          <w:rFonts w:ascii="Times New Roman" w:hAnsi="Times New Roman" w:cs="Times New Roman"/>
          <w:i/>
          <w:sz w:val="24"/>
          <w:vertAlign w:val="superscript"/>
          <w:lang w:val="ro-RO"/>
        </w:rPr>
        <w:t>th</w:t>
      </w:r>
      <w:r>
        <w:rPr>
          <w:rFonts w:ascii="Times New Roman" w:hAnsi="Times New Roman" w:cs="Times New Roman"/>
          <w:i/>
          <w:sz w:val="24"/>
          <w:lang w:val="ro-RO"/>
        </w:rPr>
        <w:t xml:space="preserve"> centuries </w:t>
      </w:r>
      <w:r>
        <w:rPr>
          <w:rFonts w:ascii="Times New Roman" w:hAnsi="Times New Roman" w:cs="Times New Roman"/>
          <w:iCs/>
          <w:sz w:val="24"/>
          <w:lang w:val="ro-RO"/>
        </w:rPr>
        <w:t>( Pop, C. C.,</w:t>
      </w:r>
      <w:r>
        <w:rPr>
          <w:rFonts w:ascii="Times New Roman" w:hAnsi="Times New Roman" w:cs="Times New Roman"/>
          <w:sz w:val="24"/>
          <w:lang w:val="ro-RO"/>
        </w:rPr>
        <w:t xml:space="preserve"> Diana Moisuc). Transylvania Review, Supplement No. 2, 209-215, 2014; </w:t>
      </w:r>
      <w:r>
        <w:rPr>
          <w:rFonts w:ascii="Times New Roman" w:hAnsi="Times New Roman" w:cs="Times New Roman"/>
          <w:i/>
          <w:sz w:val="24"/>
          <w:lang w:val="ro-RO"/>
        </w:rPr>
        <w:t>The functional territorial units in Transylvania during the 10</w:t>
      </w:r>
      <w:r>
        <w:rPr>
          <w:rFonts w:ascii="Times New Roman" w:hAnsi="Times New Roman" w:cs="Times New Roman"/>
          <w:i/>
          <w:sz w:val="24"/>
          <w:vertAlign w:val="superscript"/>
          <w:lang w:val="ro-RO"/>
        </w:rPr>
        <w:t>th</w:t>
      </w:r>
      <w:r>
        <w:rPr>
          <w:rFonts w:ascii="Times New Roman" w:hAnsi="Times New Roman" w:cs="Times New Roman"/>
          <w:i/>
          <w:sz w:val="24"/>
          <w:lang w:val="ro-RO"/>
        </w:rPr>
        <w:t>–16</w:t>
      </w:r>
      <w:r>
        <w:rPr>
          <w:rFonts w:ascii="Times New Roman" w:hAnsi="Times New Roman" w:cs="Times New Roman"/>
          <w:i/>
          <w:sz w:val="24"/>
          <w:vertAlign w:val="superscript"/>
          <w:lang w:val="ro-RO"/>
        </w:rPr>
        <w:t>th</w:t>
      </w:r>
      <w:r>
        <w:rPr>
          <w:rFonts w:ascii="Times New Roman" w:hAnsi="Times New Roman" w:cs="Times New Roman"/>
          <w:i/>
          <w:sz w:val="24"/>
          <w:lang w:val="ro-RO"/>
        </w:rPr>
        <w:t xml:space="preserve"> centuries </w:t>
      </w:r>
      <w:r>
        <w:rPr>
          <w:rFonts w:ascii="Times New Roman" w:hAnsi="Times New Roman" w:cs="Times New Roman"/>
          <w:iCs/>
          <w:sz w:val="24"/>
          <w:lang w:val="ro-RO"/>
        </w:rPr>
        <w:t xml:space="preserve">(Pop, C. C.). </w:t>
      </w:r>
      <w:r>
        <w:rPr>
          <w:rFonts w:ascii="Times New Roman" w:hAnsi="Times New Roman" w:cs="Times New Roman"/>
          <w:sz w:val="24"/>
          <w:lang w:val="ro-RO"/>
        </w:rPr>
        <w:t xml:space="preserve">Transylvania Review, Supplement No. 1, 271-276, 2014; </w:t>
      </w:r>
      <w:r>
        <w:rPr>
          <w:rFonts w:ascii="Times New Roman" w:hAnsi="Times New Roman" w:cs="Times New Roman"/>
          <w:i/>
          <w:sz w:val="24"/>
          <w:lang w:val="ro-RO"/>
        </w:rPr>
        <w:t xml:space="preserve">Axele geografice. Structuri teritoriale inteligente </w:t>
      </w:r>
      <w:r>
        <w:rPr>
          <w:rFonts w:ascii="Times New Roman" w:hAnsi="Times New Roman" w:cs="Times New Roman"/>
          <w:sz w:val="24"/>
          <w:lang w:val="ro-RO"/>
        </w:rPr>
        <w:t>(</w:t>
      </w:r>
      <w:r>
        <w:rPr>
          <w:rFonts w:ascii="Times New Roman" w:hAnsi="Times New Roman" w:cs="Times New Roman"/>
          <w:bCs/>
          <w:sz w:val="24"/>
          <w:lang w:val="ro-RO"/>
        </w:rPr>
        <w:t>Pop, C. C</w:t>
      </w:r>
      <w:r>
        <w:rPr>
          <w:rFonts w:ascii="Times New Roman" w:hAnsi="Times New Roman" w:cs="Times New Roman"/>
          <w:b/>
          <w:sz w:val="24"/>
          <w:lang w:val="ro-RO"/>
        </w:rPr>
        <w:t>.</w:t>
      </w:r>
      <w:r>
        <w:rPr>
          <w:rFonts w:ascii="Times New Roman" w:hAnsi="Times New Roman" w:cs="Times New Roman"/>
          <w:sz w:val="24"/>
          <w:lang w:val="ro-RO"/>
        </w:rPr>
        <w:t>). Editura Casa Cărţii de Ştiinţă, Cluj-Napoca, ISBN 978-606-17-1058-4, 135 pg., 2</w:t>
      </w:r>
      <w:r>
        <w:rPr>
          <w:rFonts w:ascii="Times New Roman" w:hAnsi="Times New Roman" w:cs="Times New Roman"/>
          <w:sz w:val="24"/>
        </w:rPr>
        <w:t xml:space="preserve">016; </w:t>
      </w:r>
      <w:r>
        <w:rPr>
          <w:rFonts w:ascii="Times New Roman" w:hAnsi="Times New Roman" w:cs="Times New Roman"/>
          <w:i/>
          <w:sz w:val="24"/>
          <w:lang w:val="ro-RO"/>
        </w:rPr>
        <w:t>Particularities of the cultural tourism in Zalău in the context of the european heritage: The Roman Festival Zalău Porolissum</w:t>
      </w:r>
      <w:r>
        <w:rPr>
          <w:rFonts w:ascii="Times New Roman" w:hAnsi="Times New Roman" w:cs="Times New Roman"/>
          <w:sz w:val="24"/>
          <w:lang w:val="ro-RO"/>
        </w:rPr>
        <w:t xml:space="preserve"> (Pop, C.C. ), Studia UBB, seria Geographia, 64:2, 117-129, 2019. </w:t>
      </w:r>
    </w:p>
    <w:p>
      <w:pPr>
        <w:spacing w:line="13.80pt" w:lineRule="auto"/>
        <w:jc w:val="both"/>
        <w:rPr>
          <w:rFonts w:ascii="Times New Roman" w:hAnsi="Times New Roman" w:cs="Times New Roman"/>
          <w:sz w:val="24"/>
          <w:lang w:val="ro-RO"/>
        </w:rPr>
      </w:pPr>
    </w:p>
    <w:p>
      <w:pPr>
        <w:spacing w:line="13.80pt" w:lineRule="auto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>Date de contact</w:t>
      </w:r>
      <w:r>
        <w:rPr>
          <w:rFonts w:ascii="Times New Roman" w:hAnsi="Times New Roman" w:cs="Times New Roman"/>
          <w:sz w:val="24"/>
          <w:lang w:val="ro-RO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lang w:val="ro-RO"/>
          </w:rPr>
          <w:t>calin.pop@ubbcluj.ro</w:t>
        </w:r>
      </w:hyperlink>
    </w:p>
    <w:sectPr>
      <w:pgSz w:w="612pt" w:h="792pt"/>
      <w:pgMar w:top="72pt" w:right="72pt" w:bottom="65.20pt" w:left="72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FE70AAB"/>
    <w:multiLevelType w:val="multilevel"/>
    <w:tmpl w:val="C240ADF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attachedTemplate r:id="rId1"/>
  <w:defaultTabStop w:val="36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892FD02-F8A7-4FD2-8AB0-AA7F8A4C129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8pt" w:line="12.80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pt" w:line="12pt" w:lineRule="auto"/>
    </w:pPr>
    <w:rPr>
      <w:rFonts w:ascii="Arial" w:eastAsia="SimSun" w:hAnsi="Arial" w:cs="Mangal"/>
      <w:color w:val="3F3A38"/>
      <w:spacing w:val="-6"/>
      <w:kern w:val="3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pt" w:line="12pt" w:lineRule="auto"/>
    </w:pPr>
  </w:style>
  <w:style w:type="paragraph" w:styleId="ListParagraph">
    <w:name w:val="List Paragraph"/>
    <w:basedOn w:val="Normal"/>
    <w:pPr>
      <w:ind w:start="36pt"/>
    </w:pPr>
  </w:style>
  <w:style w:type="character" w:styleId="Hyperlink">
    <w:name w:val="Hyperlink"/>
    <w:rPr>
      <w:color w:val="000000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yperlink" Target="mailto:calin.pop@ubbcluj.ro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Corpade</dc:creator>
  <dc:description/>
  <cp:lastModifiedBy>Hidro GeoUBB</cp:lastModifiedBy>
  <cp:revision>2</cp:revision>
  <dcterms:created xsi:type="dcterms:W3CDTF">2021-10-15T06:16:00Z</dcterms:created>
  <dcterms:modified xsi:type="dcterms:W3CDTF">2021-10-15T06:16:00Z</dcterms:modified>
</cp:coreProperties>
</file>